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944" w14:textId="67A3503B" w:rsidR="008F4019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Zarządzenie Nr MGOPS.011.4.202</w:t>
      </w:r>
      <w:r w:rsidR="007929C0">
        <w:rPr>
          <w:rFonts w:ascii="Calibri" w:hAnsi="Calibri" w:cs="Calibri"/>
          <w:b/>
          <w:bCs/>
        </w:rPr>
        <w:t>3</w:t>
      </w:r>
    </w:p>
    <w:p w14:paraId="12A63A3A" w14:textId="77777777" w:rsidR="008F4019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Kierownika Miejsko – Gminnego Ośrodka Pomocy Społecznej w Witkowie</w:t>
      </w:r>
    </w:p>
    <w:p w14:paraId="0E14725A" w14:textId="6A2D5E4D" w:rsidR="008F4019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z dnia </w:t>
      </w:r>
      <w:r w:rsidR="007929C0">
        <w:rPr>
          <w:rFonts w:ascii="Calibri" w:hAnsi="Calibri" w:cs="Calibri"/>
          <w:b/>
          <w:bCs/>
        </w:rPr>
        <w:t>17</w:t>
      </w:r>
      <w:r>
        <w:rPr>
          <w:rFonts w:ascii="Calibri" w:hAnsi="Calibri" w:cs="Calibri"/>
          <w:b/>
          <w:bCs/>
        </w:rPr>
        <w:t xml:space="preserve"> </w:t>
      </w:r>
      <w:r w:rsidR="007929C0">
        <w:rPr>
          <w:rFonts w:ascii="Calibri" w:hAnsi="Calibri" w:cs="Calibri"/>
          <w:b/>
          <w:bCs/>
        </w:rPr>
        <w:t>lutego</w:t>
      </w:r>
      <w:r>
        <w:rPr>
          <w:rFonts w:ascii="Calibri" w:hAnsi="Calibri" w:cs="Calibri"/>
          <w:b/>
          <w:bCs/>
        </w:rPr>
        <w:t xml:space="preserve"> 202</w:t>
      </w:r>
      <w:r w:rsidR="007929C0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r.</w:t>
      </w:r>
    </w:p>
    <w:p w14:paraId="4173B1C6" w14:textId="77777777" w:rsidR="008F4019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w sprawie: wprowadzenia zmian do Jednolitego rzeczowego wykazu akt w Miejsko – Gminnym Ośrodku Pomocy Społecznej w Witkowie.   </w:t>
      </w:r>
    </w:p>
    <w:p w14:paraId="0E77D2EC" w14:textId="77777777" w:rsidR="008F4019" w:rsidRDefault="008F4019">
      <w:pPr>
        <w:pStyle w:val="Standard"/>
        <w:spacing w:line="276" w:lineRule="auto"/>
        <w:jc w:val="center"/>
        <w:rPr>
          <w:rFonts w:ascii="Calibri" w:hAnsi="Calibri" w:cs="Calibri"/>
        </w:rPr>
      </w:pPr>
    </w:p>
    <w:p w14:paraId="25E360FB" w14:textId="77777777" w:rsidR="008F4019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 xml:space="preserve">Na podstawie art. 6 ust. 1 i 2 ustawy o narodowym zasobie archiwalnym i archiwach (Dz. U.                     z 2020 r., poz. 164 z </w:t>
      </w:r>
      <w:proofErr w:type="spellStart"/>
      <w:r>
        <w:rPr>
          <w:rFonts w:ascii="Calibri" w:hAnsi="Calibri" w:cs="Calibri"/>
        </w:rPr>
        <w:t>póź</w:t>
      </w:r>
      <w:proofErr w:type="spellEnd"/>
      <w:r>
        <w:rPr>
          <w:rFonts w:ascii="Calibri" w:hAnsi="Calibri" w:cs="Calibri"/>
        </w:rPr>
        <w:t>. zm.), rozporządzenia Ministra Kultury i Dziedzictwa Narodowego                      z dnia 20 października 2015 r. sprawie klasyfikowania i kwalifikowania dokumentacji, przekazywania materiałów archiwalnych do archiwów państwowych i brakowania dokumentacji niearchiwalnej (Dz. U. z 2016 r. poz. 246), po zatwierdzeniu przez Dyrektora Archiwum Państwowego,</w:t>
      </w:r>
    </w:p>
    <w:p w14:paraId="1F0C4E55" w14:textId="77777777" w:rsidR="008F4019" w:rsidRDefault="008F4019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</w:p>
    <w:p w14:paraId="3625E1DB" w14:textId="77777777" w:rsidR="008F4019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zarządzam co następuje</w:t>
      </w:r>
    </w:p>
    <w:p w14:paraId="66565344" w14:textId="77777777" w:rsidR="008F4019" w:rsidRDefault="008F4019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</w:p>
    <w:p w14:paraId="18C54733" w14:textId="77777777" w:rsidR="008F4019" w:rsidRDefault="00000000">
      <w:pPr>
        <w:pStyle w:val="Standard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14:paraId="63492DCA" w14:textId="15D13B7A" w:rsidR="008F4019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>Wprowadza się zmiany w Jednolitym rzeczowym wykazie akt, stanowiącym załącznik nr 3 do zarządzenia Nr MGOPS.011.1/2018 Kierownika Miejsko – Gminnego Ośrodka Pomocy Społecznej w Witkowie z dnia 8 stycznia 2018 r. zmienionego zarządzeniem Nr MGOPS.011.2.2018 z dnia 15 stycznia 2018 r., zarządzeniem Nr MGOPS.011.8/2018 z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dnia 30 lipca 2018 r., zarządzeniem Nr MGOPS.011.1.2021 z dnia 5 lutego 2021 r., zarządzeniem Nr MGOPS.011.2/2022 z dnia 11 lutego 20222 r.</w:t>
      </w:r>
      <w:r w:rsidR="0014611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zarządzeniem Nr MGOPS.011.13/2022 z dnia 1 września 2022 r.</w:t>
      </w:r>
      <w:r w:rsidR="0014611A">
        <w:rPr>
          <w:rFonts w:ascii="Calibri" w:hAnsi="Calibri" w:cs="Calibri"/>
        </w:rPr>
        <w:t xml:space="preserve">, </w:t>
      </w:r>
      <w:r w:rsidR="0014611A">
        <w:rPr>
          <w:rFonts w:ascii="Calibri" w:hAnsi="Calibri" w:cs="Calibri"/>
        </w:rPr>
        <w:t>zarządzeniem Nr MGOPS.011.1</w:t>
      </w:r>
      <w:r w:rsidR="0014611A">
        <w:rPr>
          <w:rFonts w:ascii="Calibri" w:hAnsi="Calibri" w:cs="Calibri"/>
        </w:rPr>
        <w:t>4</w:t>
      </w:r>
      <w:r w:rsidR="0014611A">
        <w:rPr>
          <w:rFonts w:ascii="Calibri" w:hAnsi="Calibri" w:cs="Calibri"/>
        </w:rPr>
        <w:t xml:space="preserve">/2022 z dnia </w:t>
      </w:r>
      <w:r w:rsidR="0014611A">
        <w:rPr>
          <w:rFonts w:ascii="Calibri" w:hAnsi="Calibri" w:cs="Calibri"/>
        </w:rPr>
        <w:t>2</w:t>
      </w:r>
      <w:r w:rsidR="0014611A">
        <w:rPr>
          <w:rFonts w:ascii="Calibri" w:hAnsi="Calibri" w:cs="Calibri"/>
        </w:rPr>
        <w:t xml:space="preserve">1 września 2022 r., </w:t>
      </w:r>
      <w:r>
        <w:rPr>
          <w:rFonts w:ascii="Calibri" w:hAnsi="Calibri" w:cs="Calibri"/>
        </w:rPr>
        <w:t>w sprawie: wprowadzenia zmian do jednolitego rzeczowego wykazu akt w Miejsko – Gminnym Ośrodku Pomocy Społecznej w Witkowie, polegającej na:</w:t>
      </w:r>
    </w:p>
    <w:p w14:paraId="7F58FBE5" w14:textId="77777777" w:rsidR="0014611A" w:rsidRDefault="0014611A" w:rsidP="0014611A">
      <w:pPr>
        <w:pStyle w:val="Standard"/>
        <w:numPr>
          <w:ilvl w:val="0"/>
          <w:numId w:val="1"/>
        </w:numPr>
        <w:snapToGrid w:val="0"/>
        <w:ind w:left="284" w:hanging="284"/>
        <w:jc w:val="both"/>
        <w:rPr>
          <w:rFonts w:hint="eastAsia"/>
        </w:rPr>
      </w:pPr>
      <w:r>
        <w:rPr>
          <w:rFonts w:ascii="Calibri" w:hAnsi="Calibri" w:cs="Calibri"/>
        </w:rPr>
        <w:t>dodaniu w klasie III hasła klasyfikacyjnego pn. „</w:t>
      </w:r>
      <w:r>
        <w:rPr>
          <w:rFonts w:ascii="Calibri" w:hAnsi="Calibri" w:cs="Calibri"/>
          <w:color w:val="000000"/>
        </w:rPr>
        <w:t>Realizacja dodatku elektrycznego”</w:t>
      </w:r>
      <w:r>
        <w:rPr>
          <w:rFonts w:ascii="Calibri" w:hAnsi="Calibri" w:cs="Calibri"/>
        </w:rPr>
        <w:t xml:space="preserve">, oznaczonego nr 565 wraz z poszczególnymi hasłami w klasie IV, </w:t>
      </w:r>
    </w:p>
    <w:p w14:paraId="13C4857E" w14:textId="77777777" w:rsidR="0014611A" w:rsidRDefault="0014611A" w:rsidP="0014611A">
      <w:pPr>
        <w:pStyle w:val="Standard"/>
        <w:numPr>
          <w:ilvl w:val="0"/>
          <w:numId w:val="1"/>
        </w:numPr>
        <w:snapToGrid w:val="0"/>
        <w:ind w:left="284" w:hanging="284"/>
        <w:jc w:val="both"/>
        <w:rPr>
          <w:rFonts w:hint="eastAsia"/>
        </w:rPr>
      </w:pPr>
      <w:r>
        <w:rPr>
          <w:rFonts w:ascii="Calibri" w:hAnsi="Calibri" w:cs="Calibri"/>
        </w:rPr>
        <w:t>dodaniu w klasie III hasła klasyfikacyjnego pn. „</w:t>
      </w:r>
      <w:r>
        <w:rPr>
          <w:rFonts w:ascii="Calibri" w:hAnsi="Calibri" w:cs="Calibri"/>
          <w:color w:val="000000"/>
        </w:rPr>
        <w:t>Realizacja refundacji podatku VAT dla odbiorców paliw gazowych”</w:t>
      </w:r>
      <w:r>
        <w:rPr>
          <w:rFonts w:ascii="Calibri" w:hAnsi="Calibri" w:cs="Calibri"/>
        </w:rPr>
        <w:t xml:space="preserve">, oznaczonego nr 566 wraz z poszczególnymi hasłami w klasie IV, </w:t>
      </w:r>
    </w:p>
    <w:p w14:paraId="7541EBA4" w14:textId="77777777" w:rsidR="0014611A" w:rsidRDefault="0014611A" w:rsidP="0014611A">
      <w:pPr>
        <w:pStyle w:val="Standard"/>
        <w:snapToGrid w:val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poniższym zestawieniem:</w:t>
      </w:r>
    </w:p>
    <w:tbl>
      <w:tblPr>
        <w:tblW w:w="9230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18"/>
        <w:gridCol w:w="615"/>
        <w:gridCol w:w="685"/>
        <w:gridCol w:w="4138"/>
        <w:gridCol w:w="1475"/>
        <w:gridCol w:w="1180"/>
      </w:tblGrid>
      <w:tr w:rsidR="008F4019" w14:paraId="730EA0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CFD2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bookmarkStart w:id="0" w:name="_Hlk63678699"/>
            <w:r>
              <w:rPr>
                <w:rFonts w:ascii="Calibri" w:hAnsi="Calibri" w:cs="Calibri"/>
                <w:b/>
              </w:rPr>
              <w:t>Symbole klasyfikacyjne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6EA6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Hasło klasyfikacyjne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BB75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Kategorie dokumentacji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5997" w14:textId="77777777" w:rsidR="008F4019" w:rsidRDefault="00000000">
            <w:pPr>
              <w:pStyle w:val="Nagwek3"/>
              <w:spacing w:after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Uwagi</w:t>
            </w:r>
          </w:p>
        </w:tc>
      </w:tr>
      <w:tr w:rsidR="008F4019" w14:paraId="619E54A9" w14:textId="7777777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E2F2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143D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3617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C03B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A9A43" w14:textId="77777777" w:rsidR="008F4019" w:rsidRDefault="008F4019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B582" w14:textId="77777777" w:rsidR="008F4019" w:rsidRDefault="008F4019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C2CC6" w14:textId="77777777" w:rsidR="008F4019" w:rsidRDefault="008F4019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8F4019" w14:paraId="3E4137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C218" w14:textId="77777777" w:rsidR="008F4019" w:rsidRDefault="00000000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DF5E" w14:textId="77777777" w:rsidR="008F4019" w:rsidRDefault="00000000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1263" w14:textId="77777777" w:rsidR="008F4019" w:rsidRDefault="00000000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0F66" w14:textId="77777777" w:rsidR="008F4019" w:rsidRDefault="00000000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6EB5" w14:textId="77777777" w:rsidR="008F4019" w:rsidRDefault="00000000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E77F" w14:textId="77777777" w:rsidR="008F4019" w:rsidRDefault="00000000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F9DC" w14:textId="77777777" w:rsidR="008F4019" w:rsidRDefault="00000000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</w:p>
        </w:tc>
      </w:tr>
      <w:tr w:rsidR="008F4019" w14:paraId="141D17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9369" w14:textId="77777777" w:rsidR="008F4019" w:rsidRDefault="00000000">
            <w:pPr>
              <w:pStyle w:val="Standarduser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09B8" w14:textId="77777777" w:rsidR="008F4019" w:rsidRDefault="008F4019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CB3B" w14:textId="77777777" w:rsidR="008F4019" w:rsidRDefault="008F4019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8C25" w14:textId="77777777" w:rsidR="008F4019" w:rsidRDefault="008F4019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4EFE" w14:textId="77777777" w:rsidR="008F4019" w:rsidRDefault="00000000">
            <w:pPr>
              <w:pStyle w:val="Standarduser"/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OBSŁUGA ŚWIADCZEŃ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4129" w14:textId="77777777" w:rsidR="008F4019" w:rsidRDefault="008F4019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A866" w14:textId="77777777" w:rsidR="008F4019" w:rsidRDefault="008F4019">
            <w:pPr>
              <w:pStyle w:val="Standarduser"/>
              <w:snapToGrid w:val="0"/>
              <w:spacing w:before="60" w:after="60"/>
              <w:rPr>
                <w:rFonts w:ascii="Calibri" w:hAnsi="Calibri" w:cs="Calibri"/>
                <w:b/>
                <w:sz w:val="20"/>
              </w:rPr>
            </w:pPr>
          </w:p>
        </w:tc>
      </w:tr>
      <w:tr w:rsidR="008F4019" w14:paraId="3563FB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8702" w14:textId="77777777" w:rsidR="008F4019" w:rsidRDefault="008F4019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188A" w14:textId="77777777" w:rsidR="008F4019" w:rsidRDefault="00000000">
            <w:pPr>
              <w:pStyle w:val="Standarduser"/>
              <w:snapToGrid w:val="0"/>
              <w:spacing w:before="60" w:after="6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</w:rPr>
              <w:t>56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448B" w14:textId="77777777" w:rsidR="008F4019" w:rsidRDefault="008F4019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5D3E" w14:textId="77777777" w:rsidR="008F4019" w:rsidRDefault="008F4019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D7B6" w14:textId="77777777" w:rsidR="008F4019" w:rsidRDefault="00000000">
            <w:pPr>
              <w:pStyle w:val="Standarduser"/>
              <w:spacing w:before="60" w:after="60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Obsługa innych rodzajów świadczeń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1FD5" w14:textId="77777777" w:rsidR="008F4019" w:rsidRDefault="008F4019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097E" w14:textId="77777777" w:rsidR="008F4019" w:rsidRDefault="008F4019">
            <w:pPr>
              <w:pStyle w:val="Standarduser"/>
              <w:snapToGrid w:val="0"/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</w:tc>
      </w:tr>
      <w:tr w:rsidR="00C12B8E" w14:paraId="04CF2C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60FC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7825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D9B1" w14:textId="0D4D27FE" w:rsidR="00C12B8E" w:rsidRDefault="00C12B8E" w:rsidP="00C12B8E">
            <w:pPr>
              <w:pStyle w:val="Standarduser"/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>565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242" w14:textId="77777777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1856" w14:textId="07667C5B" w:rsidR="00C12B8E" w:rsidRDefault="00C12B8E" w:rsidP="00C12B8E">
            <w:pPr>
              <w:pStyle w:val="Standarduser"/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Realizacja dodatku elektrycznego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9DB1" w14:textId="77777777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7235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3AF3B0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BAEA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51D6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6CBD" w14:textId="77777777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5B03" w14:textId="5860401D" w:rsidR="00C12B8E" w:rsidRDefault="00C12B8E" w:rsidP="00C12B8E">
            <w:pPr>
              <w:pStyle w:val="Standarduser"/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</w:rPr>
              <w:t>5650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5F73" w14:textId="338F9369" w:rsidR="00C12B8E" w:rsidRDefault="00C12B8E" w:rsidP="00C12B8E">
            <w:pPr>
              <w:pStyle w:val="Standarduser"/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Przyznanie dodatku elektrycznego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A50F" w14:textId="5779094F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E19A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7117F4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BF59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993D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A62E" w14:textId="77777777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1790" w14:textId="5F8FEDAA" w:rsidR="00C12B8E" w:rsidRDefault="00C12B8E" w:rsidP="00C12B8E">
            <w:pPr>
              <w:pStyle w:val="Standarduser"/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</w:rPr>
              <w:t>5651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DBE3" w14:textId="45E0354E" w:rsidR="00C12B8E" w:rsidRDefault="00C12B8E" w:rsidP="00C12B8E">
            <w:pPr>
              <w:pStyle w:val="Standarduser"/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Odmowa przyznania dodatku elektrycznego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4E83" w14:textId="06E94BEB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B02A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3FBB04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8AC9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28CC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E38A" w14:textId="77777777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FF46" w14:textId="3937E059" w:rsidR="00C12B8E" w:rsidRDefault="00C12B8E" w:rsidP="00C12B8E">
            <w:pPr>
              <w:pStyle w:val="Standarduser"/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</w:rPr>
              <w:t>5652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E79D" w14:textId="20AE5F6C" w:rsidR="00C12B8E" w:rsidRDefault="00C12B8E" w:rsidP="00C12B8E">
            <w:pPr>
              <w:pStyle w:val="Standarduser"/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Informowanie jednostek zewnętrznych o osobach korzystających z dodatku elektrycznego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3AF1" w14:textId="0648F141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FF47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176FC6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E927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3F2F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A286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CE37" w14:textId="61B36D0E" w:rsidR="00C12B8E" w:rsidRDefault="00C12B8E" w:rsidP="00C12B8E">
            <w:pPr>
              <w:pStyle w:val="Standarduser"/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</w:rPr>
              <w:t>5653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DE3C" w14:textId="2D365778" w:rsidR="00C12B8E" w:rsidRDefault="00C12B8E" w:rsidP="00C12B8E">
            <w:pPr>
              <w:pStyle w:val="Standarduser"/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Zwrot nienależnie pobranego dodatku elektrycznego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7DDD" w14:textId="103B9F58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4780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41E19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F865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FBE2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3C1A1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FDA1" w14:textId="301C6D12" w:rsidR="00C12B8E" w:rsidRDefault="00C12B8E" w:rsidP="00C12B8E">
            <w:pPr>
              <w:pStyle w:val="Standarduser"/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</w:rPr>
              <w:t>5654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CF8D" w14:textId="5076F866" w:rsidR="00C12B8E" w:rsidRDefault="00C12B8E" w:rsidP="00C12B8E">
            <w:pPr>
              <w:pStyle w:val="Textbody"/>
              <w:snapToGrid w:val="0"/>
              <w:spacing w:line="240" w:lineRule="auto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 xml:space="preserve"> Listy wypłat dodatku energetycznego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0155" w14:textId="2B9DF8BF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DAB1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16DFD3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1360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134F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717A" w14:textId="665C72F4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566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1C81" w14:textId="77777777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49C5" w14:textId="03B2E3FE" w:rsidR="00C12B8E" w:rsidRDefault="00C12B8E" w:rsidP="00C12B8E">
            <w:pPr>
              <w:pStyle w:val="Textbody"/>
              <w:snapToGri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Realizacja refundacji podatku VAT dla odbiorców paliw gazowych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DA4A" w14:textId="77777777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2CE9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60CC55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8756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A2EB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DF73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FC99" w14:textId="00E14997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color w:val="000000"/>
              </w:rPr>
              <w:t>5660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2770" w14:textId="5DD0CFD0" w:rsidR="00C12B8E" w:rsidRDefault="00C12B8E" w:rsidP="00C12B8E">
            <w:pPr>
              <w:pStyle w:val="Textbody"/>
              <w:snapToGri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Przyznanie refundacji podatku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6D3D1" w14:textId="2EC153FA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FADA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17F87C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9C32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CE5A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48A2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4518" w14:textId="49BF74F6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color w:val="000000"/>
              </w:rPr>
              <w:t>5661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862F" w14:textId="50F6E4B9" w:rsidR="00C12B8E" w:rsidRDefault="00C12B8E" w:rsidP="00C12B8E">
            <w:pPr>
              <w:pStyle w:val="Textbody"/>
              <w:snapToGri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Odmowa przyznania refundacji podatku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7219" w14:textId="2AB16181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E553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165EA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B254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0393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0E0B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AE8F" w14:textId="71F65299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color w:val="000000"/>
              </w:rPr>
              <w:t>5662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99D0" w14:textId="11CBB564" w:rsidR="00C12B8E" w:rsidRDefault="00C12B8E" w:rsidP="00C12B8E">
            <w:pPr>
              <w:pStyle w:val="Textbody"/>
              <w:snapToGri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Informowanie jednostek zewnętrznych o osobach korzystających z refundacji podatku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8FB0" w14:textId="4EFA6FE7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2596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3276D3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AC35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43E0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9AF3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4D6B" w14:textId="78A3E20E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color w:val="000000"/>
              </w:rPr>
              <w:t>5663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E681" w14:textId="42243DEE" w:rsidR="00C12B8E" w:rsidRDefault="00C12B8E" w:rsidP="00C12B8E">
            <w:pPr>
              <w:pStyle w:val="Textbody"/>
              <w:snapToGri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Zwrot nienależnie pobranej refundacji podatku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942A" w14:textId="03689D45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FD07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C12B8E" w14:paraId="18323B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746A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FC99" w14:textId="77777777" w:rsidR="00C12B8E" w:rsidRDefault="00C12B8E" w:rsidP="00C12B8E">
            <w:pPr>
              <w:pStyle w:val="Standarduser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3740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5889" w14:textId="5F661052" w:rsidR="00C12B8E" w:rsidRDefault="00C12B8E" w:rsidP="00C12B8E">
            <w:pPr>
              <w:pStyle w:val="Standarduser"/>
              <w:snapToGri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color w:val="000000"/>
              </w:rPr>
              <w:t>5664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41C8" w14:textId="698CF2BA" w:rsidR="00C12B8E" w:rsidRDefault="00C12B8E" w:rsidP="00C12B8E">
            <w:pPr>
              <w:pStyle w:val="Textbody"/>
              <w:snapToGri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Listy wypłat refundacji podatku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7078" w14:textId="5F48BAB6" w:rsidR="00C12B8E" w:rsidRDefault="00C12B8E" w:rsidP="00C12B8E">
            <w:pPr>
              <w:pStyle w:val="Standarduser"/>
              <w:spacing w:before="60" w:after="6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</w:rPr>
              <w:t>B 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8B20" w14:textId="77777777" w:rsidR="00C12B8E" w:rsidRDefault="00C12B8E" w:rsidP="00C12B8E">
            <w:pPr>
              <w:pStyle w:val="Standarduser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bookmarkEnd w:id="0"/>
    </w:tbl>
    <w:p w14:paraId="065F98DD" w14:textId="77777777" w:rsidR="008F4019" w:rsidRDefault="008F4019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1C781A79" w14:textId="77777777" w:rsidR="008F4019" w:rsidRDefault="00000000">
      <w:pPr>
        <w:pStyle w:val="Standard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14:paraId="469C52AC" w14:textId="77777777" w:rsidR="008F4019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>Pozostałe symbole w Jednolitym rzeczowym wykazie akt dla Miejsko - Gminnego Ośrodka Pomocy Społecznej w Witkowie pozostają bez zmian.</w:t>
      </w:r>
    </w:p>
    <w:p w14:paraId="761C6B98" w14:textId="77777777" w:rsidR="008F4019" w:rsidRDefault="008F4019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3B58A1A0" w14:textId="77777777" w:rsidR="008F4019" w:rsidRDefault="00000000">
      <w:pPr>
        <w:pStyle w:val="Standard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14:paraId="523D5742" w14:textId="77777777" w:rsidR="008F4019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>Zarządzenie wchodzi w życie z dniem podpisania, po jego zatwierdzeniu przez Dyrektora Archiwum Państwowego.</w:t>
      </w:r>
    </w:p>
    <w:p w14:paraId="16495A8B" w14:textId="77777777" w:rsidR="008F4019" w:rsidRDefault="008F4019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172338A0" w14:textId="77777777" w:rsidR="008F4019" w:rsidRDefault="008F4019">
      <w:pPr>
        <w:pStyle w:val="Standard"/>
        <w:spacing w:line="276" w:lineRule="auto"/>
        <w:jc w:val="both"/>
        <w:rPr>
          <w:rFonts w:hint="eastAsia"/>
        </w:rPr>
      </w:pPr>
    </w:p>
    <w:sectPr w:rsidR="008F40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FE7F" w14:textId="77777777" w:rsidR="0031718B" w:rsidRDefault="0031718B">
      <w:pPr>
        <w:spacing w:after="0" w:line="240" w:lineRule="auto"/>
      </w:pPr>
      <w:r>
        <w:separator/>
      </w:r>
    </w:p>
  </w:endnote>
  <w:endnote w:type="continuationSeparator" w:id="0">
    <w:p w14:paraId="1351315B" w14:textId="77777777" w:rsidR="0031718B" w:rsidRDefault="003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3614" w14:textId="77777777" w:rsidR="0031718B" w:rsidRDefault="003171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EDB37" w14:textId="77777777" w:rsidR="0031718B" w:rsidRDefault="003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999"/>
    <w:multiLevelType w:val="multilevel"/>
    <w:tmpl w:val="173CAE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3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4019"/>
    <w:rsid w:val="0014611A"/>
    <w:rsid w:val="0031718B"/>
    <w:rsid w:val="007929C0"/>
    <w:rsid w:val="008F4019"/>
    <w:rsid w:val="00C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8809"/>
  <w15:docId w15:val="{0ABBE5E2-1556-4796-BB62-33C28DB7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Witkowo</dc:creator>
  <cp:lastModifiedBy>MGOPS Witkowo</cp:lastModifiedBy>
  <cp:revision>4</cp:revision>
  <cp:lastPrinted>2022-11-18T11:26:00Z</cp:lastPrinted>
  <dcterms:created xsi:type="dcterms:W3CDTF">2023-02-17T10:58:00Z</dcterms:created>
  <dcterms:modified xsi:type="dcterms:W3CDTF">2023-02-17T11:07:00Z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